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B3E24" w:rsidRDefault="00CF5265">
      <w:r>
        <w:rPr>
          <w:noProof/>
        </w:rPr>
        <w:pict>
          <v:rect id="_x0000_s1269" style="position:absolute;margin-left:28.8pt;margin-top:28.8pt;width:554.4pt;height:54.4pt;z-index:251727927;mso-wrap-edited:f;mso-position-horizontal-relative:page;mso-position-vertical-relative:page" wrapcoords="-1136 -29 -1136 21570 22736 21570 22736 -29 -1136 -29" fillcolor="#800204" stroked="f" strokecolor="#4a7ebb" strokeweight="1.5pt">
            <v:fill o:detectmouseclick="t"/>
            <v:shadow opacity="22938f" mv:blur="38100f" offset="0,2pt"/>
            <v:textbox inset=",7.2pt,,7.2pt"/>
            <w10:wrap type="tight" anchorx="page" anchory="page"/>
          </v:rect>
        </w:pict>
      </w:r>
      <w:r>
        <w:rPr>
          <w:noProof/>
        </w:rPr>
        <w:pict>
          <v:shapetype id="_x0000_t202" coordsize="21600,21600" o:spt="202" path="m0,0l0,21600,21600,21600,21600,0xe">
            <v:stroke joinstyle="miter"/>
            <v:path gradientshapeok="t" o:connecttype="rect"/>
          </v:shapetype>
          <v:shape id="_x0000_s1271" type="#_x0000_t202" style="position:absolute;margin-left:27.95pt;margin-top:92.4pt;width:556.2pt;height:590.8pt;z-index:251730999;mso-wrap-edited:f;mso-position-horizontal-relative:page;mso-position-vertical-relative:page" wrapcoords="0 0 21600 0 21600 21600 0 21600 0 0" filled="f" stroked="f">
            <v:fill o:detectmouseclick="t"/>
            <v:textbox style="mso-next-textbox:#_x0000_s1271" inset="5.4pt,0,5.4pt,0">
              <w:txbxContent>
                <w:tbl>
                  <w:tblPr>
                    <w:tblStyle w:val="TableGrid"/>
                    <w:tblW w:w="11124" w:type="dxa"/>
                    <w:tblLook w:val="00BF"/>
                  </w:tblPr>
                  <w:tblGrid>
                    <w:gridCol w:w="3433"/>
                    <w:gridCol w:w="2111"/>
                    <w:gridCol w:w="2209"/>
                    <w:gridCol w:w="3371"/>
                  </w:tblGrid>
                  <w:tr w:rsidR="006721A6">
                    <w:tc>
                      <w:tcPr>
                        <w:tcW w:w="3433" w:type="dxa"/>
                      </w:tcPr>
                      <w:p w:rsidR="006721A6" w:rsidRPr="004D7F8F" w:rsidRDefault="00CF5265" w:rsidP="004832C2">
                        <w:pPr>
                          <w:jc w:val="center"/>
                          <w:rPr>
                            <w:b/>
                            <w:color w:val="990000" w:themeColor="accent1"/>
                          </w:rPr>
                        </w:pPr>
                        <w:r w:rsidRPr="004D7F8F">
                          <w:rPr>
                            <w:b/>
                            <w:color w:val="990000" w:themeColor="accent1"/>
                          </w:rPr>
                          <w:t>Criterion</w:t>
                        </w:r>
                      </w:p>
                    </w:tc>
                    <w:tc>
                      <w:tcPr>
                        <w:tcW w:w="2111" w:type="dxa"/>
                      </w:tcPr>
                      <w:p w:rsidR="006721A6" w:rsidRPr="004D7F8F" w:rsidRDefault="00CF5265" w:rsidP="004832C2">
                        <w:pPr>
                          <w:jc w:val="center"/>
                          <w:rPr>
                            <w:b/>
                            <w:color w:val="990000" w:themeColor="accent1"/>
                          </w:rPr>
                        </w:pPr>
                        <w:r>
                          <w:rPr>
                            <w:b/>
                            <w:color w:val="990000" w:themeColor="accent1"/>
                          </w:rPr>
                          <w:t>Current State</w:t>
                        </w:r>
                      </w:p>
                    </w:tc>
                    <w:tc>
                      <w:tcPr>
                        <w:tcW w:w="2209" w:type="dxa"/>
                      </w:tcPr>
                      <w:p w:rsidR="006721A6" w:rsidRPr="004D7F8F" w:rsidRDefault="00CF5265" w:rsidP="004832C2">
                        <w:pPr>
                          <w:jc w:val="center"/>
                          <w:rPr>
                            <w:b/>
                            <w:color w:val="990000" w:themeColor="accent1"/>
                          </w:rPr>
                        </w:pPr>
                        <w:r>
                          <w:rPr>
                            <w:b/>
                            <w:color w:val="990000" w:themeColor="accent1"/>
                          </w:rPr>
                          <w:t>Desired State</w:t>
                        </w:r>
                      </w:p>
                    </w:tc>
                    <w:tc>
                      <w:tcPr>
                        <w:tcW w:w="3371" w:type="dxa"/>
                      </w:tcPr>
                      <w:p w:rsidR="006721A6" w:rsidRPr="004D7F8F" w:rsidRDefault="00CF5265" w:rsidP="004832C2">
                        <w:pPr>
                          <w:jc w:val="center"/>
                          <w:rPr>
                            <w:b/>
                            <w:color w:val="990000" w:themeColor="accent1"/>
                          </w:rPr>
                        </w:pPr>
                        <w:r>
                          <w:rPr>
                            <w:b/>
                            <w:color w:val="990000" w:themeColor="accent1"/>
                          </w:rPr>
                          <w:t>Notes</w:t>
                        </w:r>
                      </w:p>
                    </w:tc>
                  </w:tr>
                  <w:tr w:rsidR="006721A6">
                    <w:tc>
                      <w:tcPr>
                        <w:tcW w:w="11124" w:type="dxa"/>
                        <w:gridSpan w:val="4"/>
                      </w:tcPr>
                      <w:p w:rsidR="006721A6" w:rsidRPr="004D7F8F" w:rsidRDefault="00CF5265" w:rsidP="004832C2">
                        <w:pPr>
                          <w:jc w:val="center"/>
                          <w:rPr>
                            <w:color w:val="990000" w:themeColor="accent1"/>
                          </w:rPr>
                        </w:pPr>
                        <w:r w:rsidRPr="004D7F8F">
                          <w:rPr>
                            <w:color w:val="990000" w:themeColor="accent1"/>
                          </w:rPr>
                          <w:t>STANDARD 1 – Student Achievement</w:t>
                        </w:r>
                      </w:p>
                    </w:tc>
                  </w:tr>
                  <w:tr w:rsidR="006721A6">
                    <w:tc>
                      <w:tcPr>
                        <w:tcW w:w="3433" w:type="dxa"/>
                      </w:tcPr>
                      <w:p w:rsidR="006721A6" w:rsidRDefault="00CF5265">
                        <w:r>
                          <w:t>Leadership</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Advocacy</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Collaboration</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Systemic Change</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11124" w:type="dxa"/>
                        <w:gridSpan w:val="4"/>
                      </w:tcPr>
                      <w:p w:rsidR="006721A6" w:rsidRPr="004D7F8F" w:rsidRDefault="00CF5265" w:rsidP="004832C2">
                        <w:pPr>
                          <w:jc w:val="center"/>
                          <w:rPr>
                            <w:color w:val="990000" w:themeColor="accent1"/>
                          </w:rPr>
                        </w:pPr>
                        <w:r w:rsidRPr="004D7F8F">
                          <w:rPr>
                            <w:color w:val="990000" w:themeColor="accent1"/>
                          </w:rPr>
                          <w:t>STANDARD 2 – Content Knowledge</w:t>
                        </w:r>
                      </w:p>
                    </w:tc>
                  </w:tr>
                  <w:tr w:rsidR="006721A6">
                    <w:tc>
                      <w:tcPr>
                        <w:tcW w:w="3433" w:type="dxa"/>
                      </w:tcPr>
                      <w:p w:rsidR="006721A6" w:rsidRDefault="00CF5265">
                        <w:r>
                          <w:t>National – State Frameworks</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Domains and Standards</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Individual Student Planning</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Responsive Services</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11124" w:type="dxa"/>
                        <w:gridSpan w:val="4"/>
                      </w:tcPr>
                      <w:p w:rsidR="006721A6" w:rsidRPr="004D7F8F" w:rsidRDefault="00CF5265" w:rsidP="004832C2">
                        <w:pPr>
                          <w:jc w:val="center"/>
                          <w:rPr>
                            <w:color w:val="990000" w:themeColor="accent1"/>
                          </w:rPr>
                        </w:pPr>
                        <w:r w:rsidRPr="004D7F8F">
                          <w:rPr>
                            <w:color w:val="990000" w:themeColor="accent1"/>
                          </w:rPr>
                          <w:t>STANDARD 3 - Planning</w:t>
                        </w:r>
                      </w:p>
                    </w:tc>
                  </w:tr>
                  <w:tr w:rsidR="006721A6">
                    <w:tc>
                      <w:tcPr>
                        <w:tcW w:w="3433" w:type="dxa"/>
                      </w:tcPr>
                      <w:p w:rsidR="006721A6" w:rsidRDefault="00CF5265">
                        <w:r>
                          <w:t>Core Curriculum</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Action Plans</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11124" w:type="dxa"/>
                        <w:gridSpan w:val="4"/>
                      </w:tcPr>
                      <w:p w:rsidR="006721A6" w:rsidRPr="004D7F8F" w:rsidRDefault="00CF5265" w:rsidP="004832C2">
                        <w:pPr>
                          <w:jc w:val="center"/>
                          <w:rPr>
                            <w:color w:val="990000" w:themeColor="accent1"/>
                          </w:rPr>
                        </w:pPr>
                        <w:r w:rsidRPr="004D7F8F">
                          <w:rPr>
                            <w:color w:val="990000" w:themeColor="accent1"/>
                          </w:rPr>
                          <w:t>STANDARD 4 – Diverse Learners</w:t>
                        </w:r>
                      </w:p>
                    </w:tc>
                  </w:tr>
                  <w:tr w:rsidR="006721A6">
                    <w:tc>
                      <w:tcPr>
                        <w:tcW w:w="3433" w:type="dxa"/>
                      </w:tcPr>
                      <w:p w:rsidR="006721A6" w:rsidRDefault="00CF5265">
                        <w:r>
                          <w:t>Equitable Programming</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Culturally Responsive Collaboration</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 xml:space="preserve">Advocacy and </w:t>
                        </w:r>
                        <w:r>
                          <w:t>Promoting Awareness</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11124" w:type="dxa"/>
                        <w:gridSpan w:val="4"/>
                      </w:tcPr>
                      <w:p w:rsidR="006721A6" w:rsidRPr="004D7F8F" w:rsidRDefault="00CF5265" w:rsidP="004832C2">
                        <w:pPr>
                          <w:jc w:val="center"/>
                          <w:rPr>
                            <w:color w:val="990000" w:themeColor="accent1"/>
                          </w:rPr>
                        </w:pPr>
                        <w:r w:rsidRPr="004D7F8F">
                          <w:rPr>
                            <w:color w:val="990000" w:themeColor="accent1"/>
                          </w:rPr>
                          <w:t>STANDARD 5 - Assessment</w:t>
                        </w:r>
                      </w:p>
                    </w:tc>
                  </w:tr>
                  <w:tr w:rsidR="006721A6">
                    <w:tc>
                      <w:tcPr>
                        <w:tcW w:w="3433" w:type="dxa"/>
                      </w:tcPr>
                      <w:p w:rsidR="006721A6" w:rsidRDefault="00CF5265">
                        <w:r>
                          <w:t>Understanding and Use of Data</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sidP="004832C2">
                        <w:r>
                          <w:t xml:space="preserve">Programs and Interventions </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Program Evaluation</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11124" w:type="dxa"/>
                        <w:gridSpan w:val="4"/>
                      </w:tcPr>
                      <w:p w:rsidR="006721A6" w:rsidRPr="004D7F8F" w:rsidRDefault="00CF5265" w:rsidP="004832C2">
                        <w:pPr>
                          <w:jc w:val="center"/>
                          <w:rPr>
                            <w:color w:val="990000" w:themeColor="accent1"/>
                          </w:rPr>
                        </w:pPr>
                        <w:r w:rsidRPr="004D7F8F">
                          <w:rPr>
                            <w:color w:val="990000" w:themeColor="accent1"/>
                          </w:rPr>
                          <w:t>STANDARD 6 – Classroom Management</w:t>
                        </w:r>
                      </w:p>
                    </w:tc>
                  </w:tr>
                  <w:tr w:rsidR="006721A6">
                    <w:tc>
                      <w:tcPr>
                        <w:tcW w:w="3433" w:type="dxa"/>
                      </w:tcPr>
                      <w:p w:rsidR="006721A6" w:rsidRDefault="00CF5265">
                        <w:r>
                          <w:t>Program Management</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Classroom Management</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11124" w:type="dxa"/>
                        <w:gridSpan w:val="4"/>
                      </w:tcPr>
                      <w:p w:rsidR="006721A6" w:rsidRPr="004D7F8F" w:rsidRDefault="00CF5265" w:rsidP="004832C2">
                        <w:pPr>
                          <w:jc w:val="center"/>
                          <w:rPr>
                            <w:color w:val="990000" w:themeColor="accent1"/>
                          </w:rPr>
                        </w:pPr>
                        <w:r w:rsidRPr="004D7F8F">
                          <w:rPr>
                            <w:color w:val="990000" w:themeColor="accent1"/>
                          </w:rPr>
                          <w:t>STANDARD 7 – Professional Growth</w:t>
                        </w:r>
                      </w:p>
                    </w:tc>
                  </w:tr>
                  <w:tr w:rsidR="006721A6">
                    <w:tc>
                      <w:tcPr>
                        <w:tcW w:w="3433" w:type="dxa"/>
                      </w:tcPr>
                      <w:p w:rsidR="006721A6" w:rsidRDefault="00CF5265">
                        <w:r>
                          <w:t>Professional Agencies and Organizations</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Professional Growth</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Appraisal Process</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11124" w:type="dxa"/>
                        <w:gridSpan w:val="4"/>
                      </w:tcPr>
                      <w:p w:rsidR="006721A6" w:rsidRPr="004D7F8F" w:rsidRDefault="00CF5265" w:rsidP="004832C2">
                        <w:pPr>
                          <w:jc w:val="center"/>
                          <w:rPr>
                            <w:color w:val="990000" w:themeColor="accent1"/>
                          </w:rPr>
                        </w:pPr>
                        <w:r w:rsidRPr="004D7F8F">
                          <w:rPr>
                            <w:color w:val="990000" w:themeColor="accent1"/>
                          </w:rPr>
                          <w:t>STANDARD 8 – Professional Responsibilities</w:t>
                        </w:r>
                      </w:p>
                    </w:tc>
                  </w:tr>
                  <w:tr w:rsidR="006721A6">
                    <w:tc>
                      <w:tcPr>
                        <w:tcW w:w="3433" w:type="dxa"/>
                      </w:tcPr>
                      <w:p w:rsidR="006721A6" w:rsidRDefault="00CF5265">
                        <w:r>
                          <w:t>Ethical Standards</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Confidentiality</w:t>
                        </w:r>
                      </w:p>
                    </w:tc>
                    <w:tc>
                      <w:tcPr>
                        <w:tcW w:w="2111" w:type="dxa"/>
                      </w:tcPr>
                      <w:p w:rsidR="006721A6" w:rsidRDefault="00CF5265"/>
                    </w:tc>
                    <w:tc>
                      <w:tcPr>
                        <w:tcW w:w="2209" w:type="dxa"/>
                      </w:tcPr>
                      <w:p w:rsidR="006721A6" w:rsidRDefault="00CF5265"/>
                    </w:tc>
                    <w:tc>
                      <w:tcPr>
                        <w:tcW w:w="3371" w:type="dxa"/>
                      </w:tcPr>
                      <w:p w:rsidR="006721A6" w:rsidRDefault="00CF5265"/>
                    </w:tc>
                  </w:tr>
                  <w:tr w:rsidR="006721A6">
                    <w:tc>
                      <w:tcPr>
                        <w:tcW w:w="3433" w:type="dxa"/>
                      </w:tcPr>
                      <w:p w:rsidR="006721A6" w:rsidRDefault="00CF5265">
                        <w:r>
                          <w:t>District, State and Local Policy</w:t>
                        </w:r>
                      </w:p>
                    </w:tc>
                    <w:tc>
                      <w:tcPr>
                        <w:tcW w:w="2111" w:type="dxa"/>
                      </w:tcPr>
                      <w:p w:rsidR="006721A6" w:rsidRDefault="00CF5265"/>
                    </w:tc>
                    <w:tc>
                      <w:tcPr>
                        <w:tcW w:w="2209" w:type="dxa"/>
                      </w:tcPr>
                      <w:p w:rsidR="006721A6" w:rsidRDefault="00CF5265"/>
                    </w:tc>
                    <w:tc>
                      <w:tcPr>
                        <w:tcW w:w="3371" w:type="dxa"/>
                      </w:tcPr>
                      <w:p w:rsidR="006721A6" w:rsidRDefault="00CF5265"/>
                    </w:tc>
                  </w:tr>
                </w:tbl>
                <w:p w:rsidR="006721A6" w:rsidRDefault="00CF5265"/>
              </w:txbxContent>
            </v:textbox>
            <w10:wrap type="tight" anchorx="page" anchory="page"/>
          </v:shape>
        </w:pict>
      </w:r>
      <w:r>
        <w:rPr>
          <w:noProof/>
        </w:rPr>
        <w:pict>
          <v:shape id="_x0000_s1270" type="#_x0000_t202" style="position:absolute;margin-left:35.6pt;margin-top:34.4pt;width:547.6pt;height:40pt;z-index:251728951;mso-wrap-edited:f;mso-position-horizontal-relative:page;mso-position-vertical-relative:page" wrapcoords="0 0 21599 0 21599 21600 0 21600 0 0" mv:complextextbox="1" filled="f" stroked="f">
            <v:fill o:detectmouseclick="t"/>
            <v:textbox style="mso-next-textbox:#_x0000_s1270" inset=",7.2pt,,7.2pt">
              <w:txbxContent>
                <w:p w:rsidR="006721A6" w:rsidRPr="004D7F8F" w:rsidRDefault="00CF5265" w:rsidP="004832C2">
                  <w:pPr>
                    <w:jc w:val="center"/>
                    <w:rPr>
                      <w:color w:val="FFFFFF" w:themeColor="background1"/>
                      <w:sz w:val="40"/>
                    </w:rPr>
                  </w:pPr>
                  <w:r w:rsidRPr="004D7F8F">
                    <w:rPr>
                      <w:color w:val="FFFFFF" w:themeColor="background1"/>
                      <w:sz w:val="40"/>
                    </w:rPr>
                    <w:t>Summary Level</w:t>
                  </w:r>
                  <w:r>
                    <w:rPr>
                      <w:color w:val="FFFFFF" w:themeColor="background1"/>
                      <w:sz w:val="40"/>
                    </w:rPr>
                    <w:t>s</w:t>
                  </w:r>
                  <w:r w:rsidRPr="004D7F8F">
                    <w:rPr>
                      <w:color w:val="FFFFFF" w:themeColor="background1"/>
                      <w:sz w:val="40"/>
                    </w:rPr>
                    <w:t xml:space="preserve"> of Performance</w:t>
                  </w:r>
                </w:p>
              </w:txbxContent>
            </v:textbox>
            <w10:wrap type="tight" anchorx="page" anchory="page"/>
          </v:shape>
        </w:pict>
      </w:r>
    </w:p>
    <w:sectPr w:rsidR="006B3E24" w:rsidSect="006721A6">
      <w:headerReference w:type="even" r:id="rId5"/>
      <w:footerReference w:type="default" r:id="rId6"/>
      <w:pgSz w:w="12240" w:h="15840"/>
      <w:pgMar w:top="576" w:right="576" w:bottom="1080" w:left="576" w:header="576" w:footer="576" w:gutter="0"/>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abon">
    <w:altName w:val="Geneva"/>
    <w:charset w:val="00"/>
    <w:family w:val="auto"/>
    <w:pitch w:val="variable"/>
    <w:sig w:usb0="00000003" w:usb1="00000000" w:usb2="00000000" w:usb3="00000000" w:csb0="00000001" w:csb1="00000000"/>
  </w:font>
  <w:font w:name="I Sabon Italic">
    <w:altName w:val="Geneva"/>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A6" w:rsidRDefault="00CF5265">
    <w:pPr>
      <w:pStyle w:val="Footer"/>
    </w:pPr>
    <w:r>
      <w:rPr>
        <w:noProof/>
      </w:rPr>
      <w:pict>
        <v:shapetype id="_x0000_t202" coordsize="21600,21600" o:spt="202" path="m0,0l0,21600,21600,21600,21600,0xe">
          <v:stroke joinstyle="miter"/>
          <v:path gradientshapeok="t" o:connecttype="rect"/>
        </v:shapetype>
        <v:shape id="_x0000_s2050" type="#_x0000_t202" style="position:absolute;left:0;text-align:left;margin-left:290pt;margin-top:751.5pt;width:293.2pt;height:17pt;z-index:251658241;mso-wrap-edited:f;mso-position-horizontal-relative:page;mso-position-vertical-relative:page" wrapcoords="0 0 21600 0 21600 21600 0 21600 0 0" filled="f" stroked="f">
          <v:fill o:detectmouseclick="t"/>
          <v:textbox inset="0,0,0,0">
            <w:txbxContent>
              <w:p w:rsidR="006721A6" w:rsidRDefault="00CF5265" w:rsidP="006B3E24">
                <w:pPr>
                  <w:pStyle w:val="Footer"/>
                </w:pPr>
                <w:r>
                  <w:t>Evaluation Supplement for School Counselors 2014</w:t>
                </w:r>
              </w:p>
            </w:txbxContent>
          </v:textbox>
          <w10:wrap type="tight" anchorx="page" anchory="page"/>
        </v:shape>
      </w:pict>
    </w:r>
    <w:r>
      <w:rPr>
        <w:noProof/>
      </w:rPr>
      <w:pict>
        <v:shape id="_x0000_s2049" type="#_x0000_t202" style="position:absolute;left:0;text-align:left;margin-left:28.8pt;margin-top:751.5pt;width:153.2pt;height:17pt;z-index:251658240;mso-wrap-edited:f;mso-position-horizontal-relative:page;mso-position-vertical-relative:page" wrapcoords="0 0 21600 0 21600 21600 0 21600 0 0" filled="f" stroked="f">
          <v:fill o:detectmouseclick="t"/>
          <v:textbox inset="0,0,0,0">
            <w:txbxContent>
              <w:p w:rsidR="006721A6" w:rsidRDefault="00CF5265" w:rsidP="006B3E24">
                <w:pPr>
                  <w:pStyle w:val="Page"/>
                </w:pPr>
                <w:r>
                  <w:fldChar w:fldCharType="begin"/>
                </w:r>
                <w:r>
                  <w:instrText xml:space="preserve"> page </w:instrText>
                </w:r>
                <w:r>
                  <w:fldChar w:fldCharType="separate"/>
                </w:r>
                <w:r>
                  <w:rPr>
                    <w:noProof/>
                  </w:rPr>
                  <w:t>2</w:t>
                </w:r>
                <w:r>
                  <w:fldChar w:fldCharType="end"/>
                </w:r>
              </w:p>
            </w:txbxContent>
          </v:textbox>
          <w10:wrap type="tight" anchorx="page" anchory="page"/>
        </v:shap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A6" w:rsidRDefault="00CF526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586.25pt;height:195.4pt;rotation:315;z-index:-251654143;mso-wrap-edited:f;mso-position-horizontal:center;mso-position-horizontal-relative:margin;mso-position-vertical:center;mso-position-vertical-relative:margin" wrapcoords="21406 4800 18644 4882 18616 4965 18589 5793 18285 4965 17815 4468 17650 4800 15799 4800 12512 5131 12374 4634 12181 5296 11048 11255 9197 6786 8507 5131 7734 4800 5966 4882 5938 10758 4336 6786 3646 5213 3452 5379 2983 5048 2043 4800 773 4800 635 4965 580 5379 580 17379 718 17793 773 17793 3231 17627 3673 17213 4087 16634 4447 15806 4723 14813 5248 16220 6242 18124 6352 17793 6546 17793 6573 12827 6905 13737 8783 17958 8838 17793 9336 17710 9308 17379 8093 13489 10026 17958 10109 17793 10192 17958 10496 17627 10579 17379 11324 13820 12457 13572 12788 14482 14418 17958 14473 17793 14860 17710 14915 17544 14694 16386 15716 17793 15965 17875 16186 17710 16241 17379 16241 11751 17401 11586 18313 14234 19997 18124 20108 17793 20329 17710 20357 17627 20384 7365 20716 6372 21489 6372 21517 6206 21517 5213 21406 4800" fillcolor="black" stroked="f">
          <v:fill opacity="19005f"/>
          <v:textpath style="font-family:&quot;Century Gothic&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EF1"/>
    <w:multiLevelType w:val="hybridMultilevel"/>
    <w:tmpl w:val="7FE6FABC"/>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E77BD"/>
    <w:multiLevelType w:val="hybridMultilevel"/>
    <w:tmpl w:val="B3184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286B10"/>
    <w:multiLevelType w:val="hybridMultilevel"/>
    <w:tmpl w:val="650AC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631F5A"/>
    <w:multiLevelType w:val="hybridMultilevel"/>
    <w:tmpl w:val="67164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40ED7"/>
    <w:multiLevelType w:val="hybridMultilevel"/>
    <w:tmpl w:val="FC0C0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7E273A"/>
    <w:multiLevelType w:val="hybridMultilevel"/>
    <w:tmpl w:val="238C1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942A29"/>
    <w:multiLevelType w:val="hybridMultilevel"/>
    <w:tmpl w:val="F06C1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701B00"/>
    <w:multiLevelType w:val="hybridMultilevel"/>
    <w:tmpl w:val="274E5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1E28CE"/>
    <w:multiLevelType w:val="hybridMultilevel"/>
    <w:tmpl w:val="595443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953BB"/>
    <w:multiLevelType w:val="hybridMultilevel"/>
    <w:tmpl w:val="8B4C8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4E62C8"/>
    <w:multiLevelType w:val="hybridMultilevel"/>
    <w:tmpl w:val="C4DC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87D58"/>
    <w:multiLevelType w:val="hybridMultilevel"/>
    <w:tmpl w:val="A5F2E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D38F7"/>
    <w:multiLevelType w:val="hybridMultilevel"/>
    <w:tmpl w:val="5B98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E55EE"/>
    <w:multiLevelType w:val="hybridMultilevel"/>
    <w:tmpl w:val="9A183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315019"/>
    <w:multiLevelType w:val="hybridMultilevel"/>
    <w:tmpl w:val="4AAA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AB32D8"/>
    <w:multiLevelType w:val="hybridMultilevel"/>
    <w:tmpl w:val="8C68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13031"/>
    <w:multiLevelType w:val="hybridMultilevel"/>
    <w:tmpl w:val="E76CC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A02E0A"/>
    <w:multiLevelType w:val="hybridMultilevel"/>
    <w:tmpl w:val="E3DA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0818B1"/>
    <w:multiLevelType w:val="hybridMultilevel"/>
    <w:tmpl w:val="EC702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797729D"/>
    <w:multiLevelType w:val="hybridMultilevel"/>
    <w:tmpl w:val="99BAF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8B7C44"/>
    <w:multiLevelType w:val="hybridMultilevel"/>
    <w:tmpl w:val="EB8C0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E712F"/>
    <w:multiLevelType w:val="hybridMultilevel"/>
    <w:tmpl w:val="F5729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216AEE"/>
    <w:multiLevelType w:val="hybridMultilevel"/>
    <w:tmpl w:val="DCA0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F2628F"/>
    <w:multiLevelType w:val="hybridMultilevel"/>
    <w:tmpl w:val="C96A8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D51107"/>
    <w:multiLevelType w:val="hybridMultilevel"/>
    <w:tmpl w:val="D6B6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B11F99"/>
    <w:multiLevelType w:val="hybridMultilevel"/>
    <w:tmpl w:val="8F44B7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53496F"/>
    <w:multiLevelType w:val="hybridMultilevel"/>
    <w:tmpl w:val="FB0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1F6653"/>
    <w:multiLevelType w:val="hybridMultilevel"/>
    <w:tmpl w:val="95125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35F6F"/>
    <w:multiLevelType w:val="hybridMultilevel"/>
    <w:tmpl w:val="F29E6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3F35F4"/>
    <w:multiLevelType w:val="hybridMultilevel"/>
    <w:tmpl w:val="2E4EC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8630F4"/>
    <w:multiLevelType w:val="hybridMultilevel"/>
    <w:tmpl w:val="EB9EA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3"/>
  </w:num>
  <w:num w:numId="4">
    <w:abstractNumId w:val="8"/>
  </w:num>
  <w:num w:numId="5">
    <w:abstractNumId w:val="25"/>
  </w:num>
  <w:num w:numId="6">
    <w:abstractNumId w:val="30"/>
  </w:num>
  <w:num w:numId="7">
    <w:abstractNumId w:val="11"/>
  </w:num>
  <w:num w:numId="8">
    <w:abstractNumId w:val="27"/>
  </w:num>
  <w:num w:numId="9">
    <w:abstractNumId w:val="29"/>
  </w:num>
  <w:num w:numId="10">
    <w:abstractNumId w:val="5"/>
  </w:num>
  <w:num w:numId="11">
    <w:abstractNumId w:val="7"/>
  </w:num>
  <w:num w:numId="12">
    <w:abstractNumId w:val="19"/>
  </w:num>
  <w:num w:numId="13">
    <w:abstractNumId w:val="18"/>
  </w:num>
  <w:num w:numId="14">
    <w:abstractNumId w:val="17"/>
  </w:num>
  <w:num w:numId="15">
    <w:abstractNumId w:val="4"/>
  </w:num>
  <w:num w:numId="16">
    <w:abstractNumId w:val="28"/>
  </w:num>
  <w:num w:numId="17">
    <w:abstractNumId w:val="14"/>
  </w:num>
  <w:num w:numId="18">
    <w:abstractNumId w:val="13"/>
  </w:num>
  <w:num w:numId="19">
    <w:abstractNumId w:val="23"/>
  </w:num>
  <w:num w:numId="20">
    <w:abstractNumId w:val="15"/>
  </w:num>
  <w:num w:numId="21">
    <w:abstractNumId w:val="26"/>
  </w:num>
  <w:num w:numId="22">
    <w:abstractNumId w:val="24"/>
  </w:num>
  <w:num w:numId="23">
    <w:abstractNumId w:val="22"/>
  </w:num>
  <w:num w:numId="24">
    <w:abstractNumId w:val="12"/>
  </w:num>
  <w:num w:numId="25">
    <w:abstractNumId w:val="10"/>
  </w:num>
  <w:num w:numId="26">
    <w:abstractNumId w:val="2"/>
  </w:num>
  <w:num w:numId="27">
    <w:abstractNumId w:val="6"/>
  </w:num>
  <w:num w:numId="28">
    <w:abstractNumId w:val="9"/>
  </w:num>
  <w:num w:numId="29">
    <w:abstractNumId w:val="21"/>
  </w:num>
  <w:num w:numId="30">
    <w:abstractNumId w:val="1"/>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60418">
      <o:colormru v:ext="edit" colors="#800204"/>
      <o:colormenu v:ext="edit" fillcolor="none [1631]" strokecolor="none"/>
    </o:shapedefaults>
    <o:shapelayout v:ext="edit">
      <o:idmap v:ext="edit" data="2"/>
    </o:shapelayout>
  </w:hdrShapeDefaults>
  <w:compat>
    <w:useFELayout/>
    <w:doNotAutofitConstrainedTables/>
    <w:splitPgBreakAndParaMark/>
    <w:doNotVertAlignCellWithSp/>
    <w:doNotBreakConstrainedForcedTable/>
    <w:useAnsiKerningPairs/>
    <w:cachedColBalance/>
  </w:compat>
  <w:docVars>
    <w:docVar w:name="OpenInPublishingView" w:val="0"/>
    <w:docVar w:name="PublishingViewTables" w:val="0"/>
    <w:docVar w:name="ShowStaticGuides" w:val="1"/>
  </w:docVars>
  <w:rsids>
    <w:rsidRoot w:val="006B3E24"/>
    <w:rsid w:val="00CF52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colormru v:ext="edit" colors="#800204"/>
      <o:colormenu v:ext="edit" fillcolor="none [1631]"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Table Grid" w:uiPriority="59"/>
    <w:lsdException w:name="List Paragraph" w:uiPriority="34" w:qFormat="1"/>
  </w:latentStyles>
  <w:style w:type="paragraph" w:default="1" w:styleId="Normal">
    <w:name w:val="Normal"/>
    <w:qFormat/>
    <w:rsid w:val="006655C4"/>
    <w:pPr>
      <w:spacing w:after="0"/>
    </w:pPr>
  </w:style>
  <w:style w:type="paragraph" w:styleId="Heading1">
    <w:name w:val="heading 1"/>
    <w:basedOn w:val="Normal"/>
    <w:next w:val="Normal"/>
    <w:link w:val="Heading1Char"/>
    <w:uiPriority w:val="9"/>
    <w:qFormat/>
    <w:rsid w:val="00731A3A"/>
    <w:pPr>
      <w:spacing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next w:val="Normal"/>
    <w:link w:val="Heading2Char"/>
    <w:uiPriority w:val="9"/>
    <w:unhideWhenUsed/>
    <w:qFormat/>
    <w:rsid w:val="00FA3595"/>
    <w:pPr>
      <w:spacing w:after="200"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next w:val="Normal"/>
    <w:link w:val="Heading3Char"/>
    <w:uiPriority w:val="9"/>
    <w:unhideWhenUsed/>
    <w:qFormat/>
    <w:rsid w:val="009143E2"/>
    <w:pPr>
      <w:spacing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next w:val="Normal"/>
    <w:link w:val="Heading4Char"/>
    <w:rsid w:val="00AC31DE"/>
    <w:pPr>
      <w:spacing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06DFF"/>
    <w:pPr>
      <w:tabs>
        <w:tab w:val="center" w:pos="4320"/>
        <w:tab w:val="right" w:pos="8640"/>
      </w:tabs>
    </w:pPr>
  </w:style>
  <w:style w:type="character" w:customStyle="1" w:styleId="HeaderChar">
    <w:name w:val="Header Char"/>
    <w:basedOn w:val="DefaultParagraphFont"/>
    <w:link w:val="Header"/>
    <w:uiPriority w:val="99"/>
    <w:semiHidden/>
    <w:rsid w:val="00906DFF"/>
  </w:style>
  <w:style w:type="paragraph" w:styleId="Footer">
    <w:name w:val="footer"/>
    <w:basedOn w:val="Normal"/>
    <w:link w:val="FooterChar"/>
    <w:uiPriority w:val="99"/>
    <w:unhideWhenUsed/>
    <w:rsid w:val="00E60C3C"/>
    <w:pPr>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next w:val="Normal"/>
    <w:link w:val="TitleChar"/>
    <w:uiPriority w:val="10"/>
    <w:qFormat/>
    <w:rsid w:val="00153708"/>
    <w:pPr>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next w:val="Normal"/>
    <w:link w:val="SubtitleChar"/>
    <w:uiPriority w:val="11"/>
    <w:qFormat/>
    <w:rsid w:val="000832FA"/>
    <w:pPr>
      <w:numPr>
        <w:ilvl w:val="1"/>
      </w:numPr>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jc w:val="right"/>
    </w:pPr>
    <w:rPr>
      <w:b/>
      <w:iCs/>
      <w:color w:val="FFFFFF" w:themeColor="background1"/>
      <w:sz w:val="36"/>
    </w:rPr>
  </w:style>
  <w:style w:type="paragraph" w:styleId="BodyText3">
    <w:name w:val="Body Text 3"/>
    <w:basedOn w:val="Normal"/>
    <w:link w:val="BodyText3Char"/>
    <w:uiPriority w:val="99"/>
    <w:unhideWhenUsed/>
    <w:rsid w:val="00F5015E"/>
    <w:pPr>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pPr>
      <w:spacing w:after="200"/>
    </w:pPr>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next w:val="Normal"/>
    <w:link w:val="DateChar"/>
    <w:rsid w:val="00153708"/>
    <w:pPr>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pPr>
      <w:spacing w:after="200"/>
    </w:pPr>
    <w:rPr>
      <w:color w:val="989898" w:themeColor="text2" w:themeTint="80"/>
      <w:sz w:val="28"/>
    </w:rPr>
  </w:style>
  <w:style w:type="paragraph" w:customStyle="1" w:styleId="BlockHeading">
    <w:name w:val="Block Heading"/>
    <w:basedOn w:val="Normal"/>
    <w:link w:val="BlockHeadingChar"/>
    <w:qFormat/>
    <w:rsid w:val="00E16B01"/>
    <w:pPr>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paragraph" w:styleId="ListParagraph">
    <w:name w:val="List Paragraph"/>
    <w:basedOn w:val="Normal"/>
    <w:uiPriority w:val="34"/>
    <w:qFormat/>
    <w:rsid w:val="00421AED"/>
    <w:pPr>
      <w:ind w:left="720"/>
      <w:contextualSpacing/>
    </w:pPr>
    <w:rPr>
      <w:rFonts w:eastAsiaTheme="minorHAnsi"/>
    </w:rPr>
  </w:style>
  <w:style w:type="table" w:styleId="TableGrid">
    <w:name w:val="Table Grid"/>
    <w:basedOn w:val="TableNormal"/>
    <w:uiPriority w:val="59"/>
    <w:rsid w:val="0063752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C018F"/>
    <w:pPr>
      <w:widowControl w:val="0"/>
      <w:autoSpaceDE w:val="0"/>
      <w:autoSpaceDN w:val="0"/>
      <w:adjustRightInd w:val="0"/>
      <w:spacing w:after="0"/>
    </w:pPr>
    <w:rPr>
      <w:rFonts w:ascii="Arial" w:eastAsiaTheme="minorHAnsi" w:hAnsi="Arial" w:cs="Arial"/>
      <w:color w:val="000000"/>
    </w:rPr>
  </w:style>
  <w:style w:type="paragraph" w:customStyle="1" w:styleId="Body">
    <w:name w:val="Body"/>
    <w:rsid w:val="00245FCB"/>
    <w:pPr>
      <w:spacing w:after="0" w:line="260" w:lineRule="exact"/>
    </w:pPr>
    <w:rPr>
      <w:rFonts w:eastAsia="Sabon" w:cs="Times New Roman"/>
      <w:szCs w:val="20"/>
    </w:rPr>
  </w:style>
  <w:style w:type="character" w:customStyle="1" w:styleId="BodyItalic">
    <w:name w:val="Body Italic"/>
    <w:rsid w:val="00B56657"/>
    <w:rPr>
      <w:rFonts w:ascii="I Sabon Italic" w:eastAsia="I Sabon Italic" w:hAnsi="I Sabon Italic"/>
      <w:noProof w:val="0"/>
      <w:sz w:val="21"/>
      <w:lang w:val="en-US"/>
    </w:rPr>
  </w:style>
  <w:style w:type="paragraph" w:styleId="NormalWeb">
    <w:name w:val="Normal (Web)"/>
    <w:basedOn w:val="Normal"/>
    <w:uiPriority w:val="99"/>
    <w:rsid w:val="009661E4"/>
    <w:pPr>
      <w:spacing w:beforeLines="1" w:afterLines="1"/>
    </w:pPr>
    <w:rPr>
      <w:rFonts w:ascii="Times" w:hAnsi="Times" w:cs="Times New Roman"/>
      <w:sz w:val="20"/>
      <w:szCs w:val="20"/>
    </w:rPr>
  </w:style>
  <w:style w:type="character" w:customStyle="1" w:styleId="contstyleexcinlinesmaller">
    <w:name w:val="contstyleexcinlinesmaller"/>
    <w:basedOn w:val="DefaultParagraphFont"/>
    <w:rsid w:val="00DF343C"/>
  </w:style>
</w:styles>
</file>

<file path=word/webSettings.xml><?xml version="1.0" encoding="utf-8"?>
<w:webSettings xmlns:r="http://schemas.openxmlformats.org/officeDocument/2006/relationships" xmlns:w="http://schemas.openxmlformats.org/wordprocessingml/2006/main">
  <w:divs>
    <w:div w:id="534198021">
      <w:bodyDiv w:val="1"/>
      <w:marLeft w:val="0"/>
      <w:marRight w:val="0"/>
      <w:marTop w:val="0"/>
      <w:marBottom w:val="0"/>
      <w:divBdr>
        <w:top w:val="none" w:sz="0" w:space="0" w:color="auto"/>
        <w:left w:val="none" w:sz="0" w:space="0" w:color="auto"/>
        <w:bottom w:val="none" w:sz="0" w:space="0" w:color="auto"/>
        <w:right w:val="none" w:sz="0" w:space="0" w:color="auto"/>
      </w:divBdr>
    </w:div>
    <w:div w:id="1093669063">
      <w:bodyDiv w:val="1"/>
      <w:marLeft w:val="0"/>
      <w:marRight w:val="0"/>
      <w:marTop w:val="0"/>
      <w:marBottom w:val="0"/>
      <w:divBdr>
        <w:top w:val="none" w:sz="0" w:space="0" w:color="auto"/>
        <w:left w:val="none" w:sz="0" w:space="0" w:color="auto"/>
        <w:bottom w:val="none" w:sz="0" w:space="0" w:color="auto"/>
        <w:right w:val="none" w:sz="0" w:space="0" w:color="auto"/>
      </w:divBdr>
    </w:div>
    <w:div w:id="1501655538">
      <w:bodyDiv w:val="1"/>
      <w:marLeft w:val="0"/>
      <w:marRight w:val="0"/>
      <w:marTop w:val="0"/>
      <w:marBottom w:val="0"/>
      <w:divBdr>
        <w:top w:val="none" w:sz="0" w:space="0" w:color="auto"/>
        <w:left w:val="none" w:sz="0" w:space="0" w:color="auto"/>
        <w:bottom w:val="none" w:sz="0" w:space="0" w:color="auto"/>
        <w:right w:val="none" w:sz="0" w:space="0" w:color="auto"/>
      </w:divBdr>
    </w:div>
    <w:div w:id="1615555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3</TotalTime>
  <Pages>1</Pages>
  <Words>12</Words>
  <Characters>71</Characters>
  <Application>Microsoft Macintosh Word</Application>
  <DocSecurity>0</DocSecurity>
  <Lines>1</Lines>
  <Paragraphs>1</Paragraphs>
  <ScaleCrop>false</ScaleCrop>
  <Manager/>
  <Company/>
  <LinksUpToDate>false</LinksUpToDate>
  <CharactersWithSpaces>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Agency Staff</dc:creator>
  <cp:keywords/>
  <dc:description/>
  <cp:lastModifiedBy>Agency Staff</cp:lastModifiedBy>
  <cp:revision>3</cp:revision>
  <cp:lastPrinted>2014-05-30T20:31:00Z</cp:lastPrinted>
  <dcterms:created xsi:type="dcterms:W3CDTF">2014-10-14T15:29:00Z</dcterms:created>
  <dcterms:modified xsi:type="dcterms:W3CDTF">2014-10-14T15:31:00Z</dcterms:modified>
  <cp:category/>
</cp:coreProperties>
</file>